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82" w:rsidRDefault="00CD2E8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ge">
                  <wp:posOffset>1237615</wp:posOffset>
                </wp:positionV>
                <wp:extent cx="5991860" cy="2520315"/>
                <wp:effectExtent l="5080" t="8890" r="13335" b="1397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860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E82" w:rsidRDefault="00CD2E82" w:rsidP="00CD2E82">
                            <w:pPr>
                              <w:pStyle w:val="a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جدول 1. پارادايم‌هاي گوناگون تک در آموزش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top w:w="28" w:type="dxa"/>
                                <w:bottom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2495"/>
                              <w:gridCol w:w="2475"/>
                              <w:gridCol w:w="2174"/>
                            </w:tblGrid>
                            <w:tr w:rsidR="00CD2E82">
                              <w:trPr>
                                <w:jc w:val="center"/>
                              </w:trPr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>
                                  <w:pPr>
                                    <w:pStyle w:val="a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پارادايم‌هاي تک در آموزش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>
                                  <w:pPr>
                                    <w:pStyle w:val="a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پارادايم‌هاي موج اول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>
                                  <w:pPr>
                                    <w:pStyle w:val="a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پارادايم‌هاي موج دوم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>
                                  <w:pPr>
                                    <w:pStyle w:val="a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پارادايم‌هاي موج سوم</w:t>
                                  </w:r>
                                </w:p>
                              </w:tc>
                            </w:tr>
                            <w:tr w:rsidR="00CD2E82">
                              <w:trPr>
                                <w:jc w:val="center"/>
                              </w:trPr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درک کيفيت آموزش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کيفيت دروني، اثربخشي آموزش براي نيل به هدف‌هاي تعيين‌شده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کيفيت سطح مشترک، رضايت شرکا از خدمات آموزش نظير فرايندها، نتايج و پاسخگويي به عموم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کيفيت آموزش مرتبط با نيازهاي افراد، اجتماع و جامعه </w:t>
                                  </w:r>
                                </w:p>
                              </w:tc>
                            </w:tr>
                            <w:tr w:rsidR="00CD2E82">
                              <w:trPr>
                                <w:jc w:val="center"/>
                              </w:trPr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تضمين کيفيت (تک)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تک دروني، بهبود محيط دروني و فرايندها، نظير اثربخشي يادگيري و تدريس مي‌تواند نيل به هدف‌هاي تعيين‌شده را تضمين کند.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تک سطح مشترک، تضمين اينکه خدمات آموزش به نيازهاي شرکا و عموم پاسخ مي‌دهد.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تضمين ربط هدف‌ها، محتوا، عمل و نتايج آموزش با سازمان‌هاي جديد در هزاره جهاني‌شدن و اقتصاد دانش‌بنيان </w:t>
                                  </w:r>
                                </w:p>
                              </w:tc>
                            </w:tr>
                            <w:tr w:rsidR="00CD2E82">
                              <w:trPr>
                                <w:jc w:val="center"/>
                              </w:trPr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رويکردها و مدل‌هاي اصلي تک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مدل‌هاي دروني، مدل هدف و معيار: تناسب يادگيري و تدريس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مدل‌هاي سطح مشترک، مدل‌هاي درون‌داد- منبع، رضايت، مشروعيت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D2E82" w:rsidRDefault="00CD2E82" w:rsidP="008F5F05">
                                  <w:pPr>
                                    <w:pStyle w:val="1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مدل‌هاي جديد آموزش، با ابعاد: فردي، محلي و جهاني</w:t>
                                  </w:r>
                                </w:p>
                              </w:tc>
                            </w:tr>
                          </w:tbl>
                          <w:p w:rsidR="00CD2E82" w:rsidRPr="006E3F50" w:rsidRDefault="00CD2E82" w:rsidP="00CD2E82">
                            <w:pPr>
                              <w:pStyle w:val="a1"/>
                              <w:rPr>
                                <w:rFonts w:ascii="Times New Roman" w:hAnsi="Times New Roma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.65pt;margin-top:97.45pt;width:471.8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" strokecolor="white">
                <v:textbox>
                  <w:txbxContent>
                    <w:p w:rsidR="00CD2E82" w:rsidRDefault="00CD2E82" w:rsidP="00CD2E82">
                      <w:pPr>
                        <w:pStyle w:val="a0"/>
                      </w:pPr>
                      <w:r>
                        <w:rPr>
                          <w:rFonts w:hint="cs"/>
                          <w:rtl/>
                        </w:rPr>
                        <w:t>جدول 1. پارادايم‌هاي گوناگون تک در آموزش</w:t>
                      </w: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top w:w="28" w:type="dxa"/>
                          <w:bottom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2495"/>
                        <w:gridCol w:w="2475"/>
                        <w:gridCol w:w="2174"/>
                      </w:tblGrid>
                      <w:tr w:rsidR="00CD2E82">
                        <w:trPr>
                          <w:jc w:val="center"/>
                        </w:trPr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>
                            <w:pPr>
                              <w:pStyle w:val="a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پارادايم‌هاي تک در آموزش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>
                            <w:pPr>
                              <w:pStyle w:val="a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پارادايم‌هاي موج اول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>
                            <w:pPr>
                              <w:pStyle w:val="a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پارادايم‌هاي موج دوم</w:t>
                            </w: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>
                            <w:pPr>
                              <w:pStyle w:val="a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پارادايم‌هاي موج سوم</w:t>
                            </w:r>
                          </w:p>
                        </w:tc>
                      </w:tr>
                      <w:tr w:rsidR="00CD2E82">
                        <w:trPr>
                          <w:jc w:val="center"/>
                        </w:trPr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درک کيفيت آموزش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کيفيت دروني، اثربخشي آموزش براي نيل به هدف‌هاي تعيين‌شده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کيفيت سطح مشترک، رضايت شرکا از خدمات آموزش نظير فرايندها، نتايج و پاسخگويي به عموم</w:t>
                            </w: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کيفيت آموزش مرتبط با نيازهاي افراد، اجتماع و جامعه </w:t>
                            </w:r>
                          </w:p>
                        </w:tc>
                      </w:tr>
                      <w:tr w:rsidR="00CD2E82">
                        <w:trPr>
                          <w:jc w:val="center"/>
                        </w:trPr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تضمين کيفيت (تک)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تک دروني، بهبود محيط دروني و فرايندها، نظير اثربخشي يادگيري و تدريس مي‌تواند نيل به هدف‌هاي تعيين‌شده را تضمين کند.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تک سطح مشترک، تضمين اينکه خدمات آموزش به نيازهاي شرکا و عموم پاسخ مي‌دهد.</w:t>
                            </w: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تضمين ربط هدف‌ها، محتوا، عمل و نتايج آموزش با سازمان‌هاي جديد در هزاره جهاني‌شدن و اقتصاد دانش‌بنيان </w:t>
                            </w:r>
                          </w:p>
                        </w:tc>
                      </w:tr>
                      <w:tr w:rsidR="00CD2E82">
                        <w:trPr>
                          <w:jc w:val="center"/>
                        </w:trPr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رويکردها و مدل‌هاي اصلي تک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مدل‌هاي دروني، مدل هدف و معيار: تناسب يادگيري و تدريس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مدل‌هاي سطح مشترک، مدل‌هاي درون‌داد- منبع، رضايت، مشروعيت</w:t>
                            </w: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D2E82" w:rsidRDefault="00CD2E82" w:rsidP="008F5F05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مدل‌هاي جديد آموزش، با ابعاد: فردي، محلي و جهاني</w:t>
                            </w:r>
                          </w:p>
                        </w:tc>
                      </w:tr>
                    </w:tbl>
                    <w:p w:rsidR="00CD2E82" w:rsidRPr="006E3F50" w:rsidRDefault="00CD2E82" w:rsidP="00CD2E82">
                      <w:pPr>
                        <w:pStyle w:val="a1"/>
                        <w:rPr>
                          <w:rFonts w:ascii="Times New Roman" w:hAnsi="Times New Roman"/>
                          <w:lang w:bidi="fa-IR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CD2E82" w:rsidRPr="00CD2E82" w:rsidRDefault="00CD2E82" w:rsidP="00CD2E82"/>
    <w:p w:rsidR="00CD2E82" w:rsidRPr="00CD2E82" w:rsidRDefault="00CD2E82" w:rsidP="00CD2E82">
      <w:pPr>
        <w:keepNext/>
        <w:widowControl w:val="0"/>
        <w:tabs>
          <w:tab w:val="left" w:pos="284"/>
        </w:tabs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/>
        </w:rPr>
      </w:pPr>
      <w:r w:rsidRPr="00CD2E82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/>
        </w:rPr>
        <w:t>جدول 2. ابعاد کيفيت محصول در صنعت و آموزش ‌عالي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83"/>
        <w:gridCol w:w="6009"/>
      </w:tblGrid>
      <w:tr w:rsidR="00CD2E82" w:rsidRPr="00CD2E82" w:rsidTr="007F3FED">
        <w:trPr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CD2E82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صنعت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CD2E82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آموزش ‌عالي</w:t>
            </w:r>
          </w:p>
        </w:tc>
      </w:tr>
      <w:tr w:rsidR="00CD2E82" w:rsidRPr="00CD2E82" w:rsidTr="007F3FED">
        <w:trPr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عملکرد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دانش و مهارت‌هاي اوليه کسب‌شده دانش‌آموخته</w:t>
            </w:r>
          </w:p>
        </w:tc>
      </w:tr>
      <w:tr w:rsidR="00CD2E82" w:rsidRPr="00CD2E82" w:rsidTr="007F3FED">
        <w:trPr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ويژگي‌ها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دانش و مهارت‌هاي ثانويه يا تکميلي</w:t>
            </w:r>
          </w:p>
        </w:tc>
      </w:tr>
      <w:tr w:rsidR="00CD2E82" w:rsidRPr="00CD2E82" w:rsidTr="007F3FED">
        <w:trPr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اعتماد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ميزاني که دانش و مهارت‌هاي يادگرفته‌شده درست، دقيق و به‌هنگام‌اند</w:t>
            </w:r>
          </w:p>
        </w:tc>
      </w:tr>
      <w:tr w:rsidR="00CD2E82" w:rsidRPr="00CD2E82" w:rsidTr="007F3FED">
        <w:trPr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مطابقت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ميزاني که برنامه‌هاي مؤسسه يا رشته، استانداردها را رعايت مي‌کنند.</w:t>
            </w:r>
          </w:p>
        </w:tc>
      </w:tr>
      <w:tr w:rsidR="00CD2E82" w:rsidRPr="00CD2E82" w:rsidTr="007F3FED">
        <w:trPr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جبران خدمت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عمق يادگيري و چگونه مؤسسه، شکايت ارباب‌رجوع را پاسخ مي‌دهد؟</w:t>
            </w:r>
          </w:p>
        </w:tc>
      </w:tr>
    </w:tbl>
    <w:p w:rsidR="00CD2E82" w:rsidRPr="00CD2E82" w:rsidRDefault="00CD2E82" w:rsidP="00CD2E82">
      <w:pPr>
        <w:keepNext/>
        <w:widowControl w:val="0"/>
        <w:tabs>
          <w:tab w:val="left" w:pos="284"/>
        </w:tabs>
        <w:spacing w:after="0" w:line="187" w:lineRule="auto"/>
        <w:rPr>
          <w:rFonts w:ascii="Times New Roman" w:eastAsia="SimSun" w:hAnsi="Times New Roman" w:cs="B Lotus" w:hint="cs"/>
          <w:color w:val="FF6600"/>
          <w:sz w:val="14"/>
          <w:szCs w:val="20"/>
          <w:rtl/>
          <w:lang w:eastAsia="zh-CN"/>
        </w:rPr>
      </w:pPr>
    </w:p>
    <w:p w:rsidR="00CD2E82" w:rsidRPr="00CD2E82" w:rsidRDefault="00CD2E82" w:rsidP="00CD2E82">
      <w:pPr>
        <w:keepNext/>
        <w:widowControl w:val="0"/>
        <w:tabs>
          <w:tab w:val="left" w:pos="284"/>
        </w:tabs>
        <w:spacing w:after="0" w:line="187" w:lineRule="auto"/>
        <w:rPr>
          <w:rFonts w:ascii="Times New Roman" w:eastAsia="SimSun" w:hAnsi="Times New Roman" w:cs="B Lotus" w:hint="cs"/>
          <w:color w:val="FF6600"/>
          <w:sz w:val="14"/>
          <w:szCs w:val="20"/>
          <w:lang w:eastAsia="zh-CN"/>
        </w:rPr>
      </w:pPr>
    </w:p>
    <w:p w:rsidR="00CD2E82" w:rsidRPr="00CD2E82" w:rsidRDefault="00CD2E82" w:rsidP="00CD2E82">
      <w:pPr>
        <w:keepNext/>
        <w:widowControl w:val="0"/>
        <w:tabs>
          <w:tab w:val="left" w:pos="284"/>
        </w:tabs>
        <w:spacing w:after="60" w:line="192" w:lineRule="auto"/>
        <w:jc w:val="center"/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/>
        </w:rPr>
      </w:pPr>
      <w:r w:rsidRPr="00CD2E82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/>
        </w:rPr>
        <w:t>جدول 3. ابعاد نرم‌افزاري کيفيت در صنعت و آموزش ‌عالي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90"/>
        <w:gridCol w:w="6009"/>
      </w:tblGrid>
      <w:tr w:rsidR="00CD2E82" w:rsidRPr="00CD2E82" w:rsidTr="007F3FED">
        <w:trPr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CD2E82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صنعت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CD2E82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آموزش‌ عالي</w:t>
            </w:r>
          </w:p>
        </w:tc>
      </w:tr>
      <w:tr w:rsidR="00CD2E82" w:rsidRPr="00CD2E82" w:rsidTr="007F3FED">
        <w:trPr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صحت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ميزاني که برنامه‌ها يا واحدها مطابق با نيازهاي خاص است.</w:t>
            </w:r>
          </w:p>
        </w:tc>
      </w:tr>
      <w:tr w:rsidR="00CD2E82" w:rsidRPr="00CD2E82" w:rsidTr="007F3FED">
        <w:trPr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اعتماد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ميزاني که دانش و مهارت‌هاي آموخته‌شده درست، دقيق و به‌روز است.</w:t>
            </w:r>
          </w:p>
        </w:tc>
      </w:tr>
      <w:tr w:rsidR="00CD2E82" w:rsidRPr="00CD2E82" w:rsidTr="007F3FED">
        <w:trPr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سودمندي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ميزاني که دانش و مهارت‌هاي آموخته‌شده با مسير حرفه‌اي دانش‌آموختگان مرتبط‌اند. </w:t>
            </w:r>
          </w:p>
        </w:tc>
      </w:tr>
      <w:tr w:rsidR="00CD2E82" w:rsidRPr="00CD2E82" w:rsidTr="007F3FED">
        <w:trPr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يکپارچگي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ميزاني که اطلاعات شخصي از دسترسي غيرمجاز محفوظ است.</w:t>
            </w:r>
          </w:p>
        </w:tc>
      </w:tr>
      <w:tr w:rsidR="00CD2E82" w:rsidRPr="00CD2E82" w:rsidTr="007F3FED">
        <w:trPr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قابليت کاربرد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سهولت يادگيري و ميزان ارتباطات در کلاس درس</w:t>
            </w:r>
          </w:p>
        </w:tc>
      </w:tr>
      <w:tr w:rsidR="00CD2E82" w:rsidRPr="00CD2E82" w:rsidTr="007F3FED">
        <w:trPr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حفظ‌پذيري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ميزاني که مؤسسه به شکايت‌هاي ارباب‌رجوع رسيدگي مي‌کند.</w:t>
            </w:r>
          </w:p>
        </w:tc>
      </w:tr>
      <w:tr w:rsidR="00CD2E82" w:rsidRPr="00CD2E82" w:rsidTr="007F3FED">
        <w:trPr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آزمون‌پذيري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ميزاني که آزمون‌ها مناسب موضوع مطالعه هستند.</w:t>
            </w:r>
          </w:p>
        </w:tc>
      </w:tr>
      <w:tr w:rsidR="00CD2E82" w:rsidRPr="00CD2E82" w:rsidTr="007F3FED">
        <w:trPr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بسط‌پذيري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انعطاف‌پذيري</w:t>
            </w:r>
          </w:p>
        </w:tc>
      </w:tr>
      <w:tr w:rsidR="00CD2E82" w:rsidRPr="00CD2E82" w:rsidTr="007F3FED">
        <w:trPr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قابل حمل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82" w:rsidRPr="00CD2E82" w:rsidRDefault="00CD2E82" w:rsidP="00CD2E82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D2E8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ميزاني که دانش و مهارت‌هاي آموخته‌شده در رشته‌هاي ديگر قابليت کاربرد دارد.</w:t>
            </w:r>
          </w:p>
        </w:tc>
      </w:tr>
    </w:tbl>
    <w:p w:rsidR="00CD2E82" w:rsidRPr="00CD2E82" w:rsidRDefault="00CD2E82" w:rsidP="00CD2E82">
      <w:pPr>
        <w:keepNext/>
        <w:widowControl w:val="0"/>
        <w:tabs>
          <w:tab w:val="left" w:pos="284"/>
          <w:tab w:val="left" w:pos="6237"/>
        </w:tabs>
        <w:spacing w:before="40" w:after="0" w:line="240" w:lineRule="auto"/>
        <w:ind w:left="284" w:hanging="284"/>
        <w:jc w:val="center"/>
        <w:rPr>
          <w:rFonts w:ascii="Times New Roman Bold" w:eastAsia="Times New Roman" w:hAnsi="Times New Roman Bold" w:cs="B Lotus" w:hint="cs"/>
          <w:b/>
          <w:bCs/>
          <w:sz w:val="17"/>
          <w:szCs w:val="18"/>
          <w:rtl/>
          <w:lang w:bidi="ar-SA"/>
        </w:rPr>
      </w:pPr>
    </w:p>
    <w:p w:rsidR="00CD2E82" w:rsidRPr="00CD2E82" w:rsidRDefault="00CD2E82" w:rsidP="00CD2E82">
      <w:pPr>
        <w:rPr>
          <w:rFonts w:hint="cs"/>
        </w:rPr>
      </w:pPr>
      <w:bookmarkStart w:id="0" w:name="_GoBack"/>
      <w:bookmarkEnd w:id="0"/>
    </w:p>
    <w:p w:rsidR="00CD2E82" w:rsidRPr="00CD2E82" w:rsidRDefault="00CD2E82" w:rsidP="00CD2E82"/>
    <w:p w:rsidR="00CD2E82" w:rsidRPr="00CD2E82" w:rsidRDefault="00CD2E82" w:rsidP="00CD2E82"/>
    <w:p w:rsidR="00CD2E82" w:rsidRPr="00CD2E82" w:rsidRDefault="00CD2E82" w:rsidP="00CD2E82"/>
    <w:p w:rsidR="00CD2E82" w:rsidRPr="00CD2E82" w:rsidRDefault="00CD2E82" w:rsidP="00CD2E82"/>
    <w:p w:rsidR="00CD2E82" w:rsidRPr="00CD2E82" w:rsidRDefault="00CD2E82" w:rsidP="00CD2E82"/>
    <w:p w:rsidR="00CD2E82" w:rsidRPr="00CD2E82" w:rsidRDefault="00CD2E82" w:rsidP="00CD2E82"/>
    <w:p w:rsidR="00CD2E82" w:rsidRPr="00CD2E82" w:rsidRDefault="00CD2E82" w:rsidP="00CD2E82"/>
    <w:p w:rsidR="007F009F" w:rsidRPr="00CD2E82" w:rsidRDefault="007F009F" w:rsidP="00CD2E82"/>
    <w:sectPr w:rsidR="007F009F" w:rsidRPr="00CD2E82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2"/>
    <w:rsid w:val="0028409A"/>
    <w:rsid w:val="007F009F"/>
    <w:rsid w:val="00C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D0602D-93E6-4A5C-8BB4-99F0B9DC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يتر جدول"/>
    <w:basedOn w:val="Normal"/>
    <w:link w:val="Char"/>
    <w:rsid w:val="00CD2E82"/>
    <w:pPr>
      <w:keepNext/>
      <w:widowControl w:val="0"/>
      <w:tabs>
        <w:tab w:val="left" w:pos="284"/>
      </w:tabs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character" w:customStyle="1" w:styleId="Char">
    <w:name w:val="تيتر جدول Char"/>
    <w:link w:val="a"/>
    <w:locked/>
    <w:rsid w:val="00CD2E82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a0">
    <w:name w:val="عنوان جدول، شكل و نمودار"/>
    <w:basedOn w:val="Normal"/>
    <w:link w:val="Char0"/>
    <w:rsid w:val="00CD2E82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0">
    <w:name w:val="عنوان جدول، شكل و نمودار Char"/>
    <w:link w:val="a0"/>
    <w:rsid w:val="00CD2E82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1">
    <w:name w:val="منبع لاتين زير جدول Char"/>
    <w:link w:val="a1"/>
    <w:rsid w:val="00CD2E82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CD2E82"/>
    <w:pPr>
      <w:keepNext/>
      <w:widowControl w:val="0"/>
      <w:tabs>
        <w:tab w:val="left" w:pos="284"/>
        <w:tab w:val="left" w:pos="6237"/>
      </w:tabs>
      <w:bidi w:val="0"/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1">
    <w:name w:val="متن جدول 1"/>
    <w:basedOn w:val="Normal"/>
    <w:link w:val="1Char"/>
    <w:rsid w:val="00CD2E82"/>
    <w:pPr>
      <w:keepNext/>
      <w:widowControl w:val="0"/>
      <w:tabs>
        <w:tab w:val="left" w:pos="284"/>
      </w:tabs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character" w:customStyle="1" w:styleId="1Char">
    <w:name w:val="متن جدول 1 Char"/>
    <w:link w:val="1"/>
    <w:locked/>
    <w:rsid w:val="00CD2E82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2026-05-26T07:32:00Z</dcterms:created>
  <dcterms:modified xsi:type="dcterms:W3CDTF">2026-05-26T07:34:00Z</dcterms:modified>
</cp:coreProperties>
</file>